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629" w:rsidRPr="004704D4" w:rsidRDefault="004E0C5E" w:rsidP="00BE062F">
      <w:pPr>
        <w:spacing w:line="480" w:lineRule="auto"/>
        <w:rPr>
          <w:rFonts w:ascii="Times New Roman" w:hAnsi="Times New Roman" w:cs="Times New Roman"/>
          <w:b/>
          <w:sz w:val="24"/>
          <w:szCs w:val="24"/>
        </w:rPr>
      </w:pPr>
      <w:bookmarkStart w:id="0" w:name="_GoBack"/>
      <w:bookmarkEnd w:id="0"/>
      <w:r w:rsidRPr="004704D4">
        <w:rPr>
          <w:rFonts w:ascii="Times New Roman" w:hAnsi="Times New Roman" w:cs="Times New Roman"/>
          <w:b/>
          <w:sz w:val="24"/>
          <w:szCs w:val="24"/>
        </w:rPr>
        <w:t>Name:</w:t>
      </w:r>
    </w:p>
    <w:p w:rsidR="00F40629" w:rsidRPr="004704D4" w:rsidRDefault="004E0C5E" w:rsidP="00BE062F">
      <w:pPr>
        <w:spacing w:line="480" w:lineRule="auto"/>
        <w:rPr>
          <w:rFonts w:ascii="Times New Roman" w:hAnsi="Times New Roman" w:cs="Times New Roman"/>
          <w:b/>
          <w:sz w:val="24"/>
          <w:szCs w:val="24"/>
        </w:rPr>
      </w:pPr>
      <w:r w:rsidRPr="004704D4">
        <w:rPr>
          <w:rFonts w:ascii="Times New Roman" w:hAnsi="Times New Roman" w:cs="Times New Roman"/>
          <w:b/>
          <w:sz w:val="24"/>
          <w:szCs w:val="24"/>
        </w:rPr>
        <w:t>School:</w:t>
      </w:r>
    </w:p>
    <w:p w:rsidR="00F40629" w:rsidRPr="004704D4" w:rsidRDefault="004E0C5E" w:rsidP="00BE062F">
      <w:pPr>
        <w:spacing w:line="480" w:lineRule="auto"/>
        <w:rPr>
          <w:rFonts w:ascii="Times New Roman" w:hAnsi="Times New Roman" w:cs="Times New Roman"/>
          <w:b/>
          <w:sz w:val="24"/>
          <w:szCs w:val="24"/>
        </w:rPr>
      </w:pPr>
      <w:r w:rsidRPr="004704D4">
        <w:rPr>
          <w:rFonts w:ascii="Times New Roman" w:hAnsi="Times New Roman" w:cs="Times New Roman"/>
          <w:b/>
          <w:sz w:val="24"/>
          <w:szCs w:val="24"/>
        </w:rPr>
        <w:t xml:space="preserve">Course: </w:t>
      </w:r>
    </w:p>
    <w:p w:rsidR="009B69AE" w:rsidRPr="004704D4" w:rsidRDefault="004E0C5E" w:rsidP="00BE062F">
      <w:pPr>
        <w:spacing w:line="480" w:lineRule="auto"/>
        <w:rPr>
          <w:rFonts w:ascii="Times New Roman" w:hAnsi="Times New Roman" w:cs="Times New Roman"/>
          <w:b/>
          <w:sz w:val="24"/>
          <w:szCs w:val="24"/>
        </w:rPr>
      </w:pPr>
      <w:r w:rsidRPr="004704D4">
        <w:rPr>
          <w:rFonts w:ascii="Times New Roman" w:hAnsi="Times New Roman" w:cs="Times New Roman"/>
          <w:b/>
          <w:sz w:val="24"/>
          <w:szCs w:val="24"/>
        </w:rPr>
        <w:t>Date:</w:t>
      </w:r>
    </w:p>
    <w:p w:rsidR="00ED1873" w:rsidRPr="004704D4" w:rsidRDefault="00ED1873" w:rsidP="00BE062F">
      <w:pPr>
        <w:spacing w:line="480" w:lineRule="auto"/>
        <w:ind w:left="0" w:firstLine="720"/>
        <w:rPr>
          <w:rFonts w:ascii="Times New Roman" w:hAnsi="Times New Roman" w:cs="Times New Roman"/>
          <w:sz w:val="24"/>
          <w:szCs w:val="24"/>
        </w:rPr>
      </w:pPr>
    </w:p>
    <w:p w:rsidR="0007538F" w:rsidRPr="00C8592D" w:rsidRDefault="00C27CA3" w:rsidP="00BE062F">
      <w:pPr>
        <w:spacing w:line="480" w:lineRule="auto"/>
        <w:ind w:left="0" w:firstLine="0"/>
        <w:rPr>
          <w:rFonts w:ascii="Times New Roman" w:hAnsi="Times New Roman" w:cs="Times New Roman"/>
          <w:b/>
          <w:sz w:val="24"/>
          <w:szCs w:val="24"/>
        </w:rPr>
      </w:pPr>
      <w:r w:rsidRPr="00C8592D">
        <w:rPr>
          <w:rFonts w:ascii="Times New Roman" w:hAnsi="Times New Roman" w:cs="Times New Roman"/>
          <w:b/>
          <w:sz w:val="24"/>
          <w:szCs w:val="24"/>
        </w:rPr>
        <w:t>Question 1</w:t>
      </w:r>
    </w:p>
    <w:p w:rsidR="00C8592D" w:rsidRPr="004704D4" w:rsidRDefault="00C8592D" w:rsidP="00BE062F">
      <w:pPr>
        <w:spacing w:line="480" w:lineRule="auto"/>
        <w:ind w:left="0" w:firstLine="0"/>
        <w:rPr>
          <w:rFonts w:ascii="Times New Roman" w:hAnsi="Times New Roman" w:cs="Times New Roman"/>
          <w:sz w:val="24"/>
          <w:szCs w:val="24"/>
        </w:rPr>
      </w:pPr>
      <w:r w:rsidRPr="004704D4">
        <w:rPr>
          <w:rFonts w:ascii="Times New Roman" w:hAnsi="Times New Roman" w:cs="Times New Roman"/>
          <w:sz w:val="24"/>
          <w:szCs w:val="24"/>
        </w:rPr>
        <w:t xml:space="preserve">Simeone </w:t>
      </w:r>
      <w:r>
        <w:rPr>
          <w:rFonts w:ascii="Times New Roman" w:hAnsi="Times New Roman" w:cs="Times New Roman"/>
          <w:sz w:val="24"/>
          <w:szCs w:val="24"/>
        </w:rPr>
        <w:t>v.</w:t>
      </w:r>
      <w:r w:rsidRPr="004704D4">
        <w:rPr>
          <w:rFonts w:ascii="Times New Roman" w:hAnsi="Times New Roman" w:cs="Times New Roman"/>
          <w:sz w:val="24"/>
          <w:szCs w:val="24"/>
        </w:rPr>
        <w:t xml:space="preserve"> Simeone case</w:t>
      </w:r>
    </w:p>
    <w:p w:rsidR="00C27CA3" w:rsidRPr="004704D4" w:rsidRDefault="00C27CA3" w:rsidP="00BE062F">
      <w:pPr>
        <w:pStyle w:val="ListParagraph"/>
        <w:numPr>
          <w:ilvl w:val="0"/>
          <w:numId w:val="2"/>
        </w:numPr>
        <w:spacing w:line="480" w:lineRule="auto"/>
        <w:rPr>
          <w:rFonts w:ascii="Times New Roman" w:hAnsi="Times New Roman" w:cs="Times New Roman"/>
          <w:sz w:val="24"/>
          <w:szCs w:val="24"/>
        </w:rPr>
      </w:pPr>
      <w:r w:rsidRPr="004704D4">
        <w:rPr>
          <w:rFonts w:ascii="Times New Roman" w:hAnsi="Times New Roman" w:cs="Times New Roman"/>
          <w:sz w:val="24"/>
          <w:szCs w:val="24"/>
        </w:rPr>
        <w:t xml:space="preserve">Simeone </w:t>
      </w:r>
      <w:r w:rsidR="00FF6E4A">
        <w:rPr>
          <w:rFonts w:ascii="Times New Roman" w:hAnsi="Times New Roman" w:cs="Times New Roman"/>
          <w:sz w:val="24"/>
          <w:szCs w:val="24"/>
        </w:rPr>
        <w:t>v.</w:t>
      </w:r>
      <w:r w:rsidRPr="004704D4">
        <w:rPr>
          <w:rFonts w:ascii="Times New Roman" w:hAnsi="Times New Roman" w:cs="Times New Roman"/>
          <w:sz w:val="24"/>
          <w:szCs w:val="24"/>
        </w:rPr>
        <w:t xml:space="preserve"> Simeone case was in the </w:t>
      </w:r>
      <w:r w:rsidR="00ED5D88">
        <w:rPr>
          <w:rFonts w:ascii="Times New Roman" w:hAnsi="Times New Roman" w:cs="Times New Roman"/>
          <w:sz w:val="24"/>
          <w:szCs w:val="24"/>
        </w:rPr>
        <w:t xml:space="preserve">State </w:t>
      </w:r>
      <w:r w:rsidRPr="004704D4">
        <w:rPr>
          <w:rFonts w:ascii="Times New Roman" w:hAnsi="Times New Roman" w:cs="Times New Roman"/>
          <w:sz w:val="24"/>
          <w:szCs w:val="24"/>
        </w:rPr>
        <w:t xml:space="preserve">court system. </w:t>
      </w:r>
    </w:p>
    <w:p w:rsidR="00C27CA3" w:rsidRPr="004704D4" w:rsidRDefault="005C4D98" w:rsidP="00BE062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w:t>
      </w:r>
      <w:r w:rsidR="00ED5D88">
        <w:rPr>
          <w:rFonts w:ascii="Times New Roman" w:hAnsi="Times New Roman" w:cs="Times New Roman"/>
          <w:sz w:val="24"/>
          <w:szCs w:val="24"/>
        </w:rPr>
        <w:t>he case is a civil case</w:t>
      </w:r>
      <w:r>
        <w:rPr>
          <w:rFonts w:ascii="Times New Roman" w:hAnsi="Times New Roman" w:cs="Times New Roman"/>
          <w:sz w:val="24"/>
          <w:szCs w:val="24"/>
        </w:rPr>
        <w:t>.</w:t>
      </w:r>
    </w:p>
    <w:p w:rsidR="00C27CA3" w:rsidRPr="004704D4" w:rsidRDefault="00C27CA3" w:rsidP="00BE062F">
      <w:pPr>
        <w:pStyle w:val="ListParagraph"/>
        <w:numPr>
          <w:ilvl w:val="0"/>
          <w:numId w:val="2"/>
        </w:numPr>
        <w:spacing w:line="480" w:lineRule="auto"/>
        <w:rPr>
          <w:rFonts w:ascii="Times New Roman" w:hAnsi="Times New Roman" w:cs="Times New Roman"/>
          <w:sz w:val="24"/>
          <w:szCs w:val="24"/>
        </w:rPr>
      </w:pPr>
      <w:r w:rsidRPr="004704D4">
        <w:rPr>
          <w:rFonts w:ascii="Times New Roman" w:hAnsi="Times New Roman" w:cs="Times New Roman"/>
          <w:sz w:val="24"/>
          <w:szCs w:val="24"/>
        </w:rPr>
        <w:t>The supreme court</w:t>
      </w:r>
      <w:r w:rsidR="00ED5D88">
        <w:rPr>
          <w:rFonts w:ascii="Times New Roman" w:hAnsi="Times New Roman" w:cs="Times New Roman"/>
          <w:sz w:val="24"/>
          <w:szCs w:val="24"/>
        </w:rPr>
        <w:t xml:space="preserve"> of Pennsylvania</w:t>
      </w:r>
    </w:p>
    <w:p w:rsidR="00C27CA3" w:rsidRPr="004704D4" w:rsidRDefault="00C27CA3" w:rsidP="00BE062F">
      <w:pPr>
        <w:pStyle w:val="ListParagraph"/>
        <w:numPr>
          <w:ilvl w:val="0"/>
          <w:numId w:val="2"/>
        </w:numPr>
        <w:spacing w:line="480" w:lineRule="auto"/>
        <w:rPr>
          <w:rFonts w:ascii="Times New Roman" w:hAnsi="Times New Roman" w:cs="Times New Roman"/>
          <w:sz w:val="24"/>
          <w:szCs w:val="24"/>
        </w:rPr>
      </w:pPr>
      <w:r w:rsidRPr="004704D4">
        <w:rPr>
          <w:rFonts w:ascii="Times New Roman" w:hAnsi="Times New Roman" w:cs="Times New Roman"/>
          <w:sz w:val="24"/>
          <w:szCs w:val="24"/>
        </w:rPr>
        <w:t xml:space="preserve">After both parties divorced and agreement signed limiting the </w:t>
      </w:r>
      <w:r w:rsidR="00F33511" w:rsidRPr="004704D4">
        <w:rPr>
          <w:rFonts w:ascii="Times New Roman" w:hAnsi="Times New Roman" w:cs="Times New Roman"/>
          <w:sz w:val="24"/>
          <w:szCs w:val="24"/>
        </w:rPr>
        <w:t>appellant to support payments of $200/week subject to a maximum of $25,000/week.</w:t>
      </w:r>
      <w:r w:rsidR="005D4B07" w:rsidRPr="004704D4">
        <w:rPr>
          <w:rFonts w:ascii="Times New Roman" w:hAnsi="Times New Roman" w:cs="Times New Roman"/>
          <w:sz w:val="24"/>
          <w:szCs w:val="24"/>
        </w:rPr>
        <w:t xml:space="preserve"> The main issue is divorce and payments after divorce.</w:t>
      </w:r>
      <w:r w:rsidR="00FA4642" w:rsidRPr="004704D4">
        <w:rPr>
          <w:rFonts w:ascii="Times New Roman" w:hAnsi="Times New Roman" w:cs="Times New Roman"/>
          <w:sz w:val="24"/>
          <w:szCs w:val="24"/>
        </w:rPr>
        <w:t xml:space="preserve"> Plaintiff wanted the court to bind both parties to the agreement</w:t>
      </w:r>
      <w:r w:rsidR="00FE37E7" w:rsidRPr="004704D4">
        <w:rPr>
          <w:rFonts w:ascii="Times New Roman" w:hAnsi="Times New Roman" w:cs="Times New Roman"/>
          <w:sz w:val="24"/>
          <w:szCs w:val="24"/>
        </w:rPr>
        <w:t>.</w:t>
      </w:r>
    </w:p>
    <w:p w:rsidR="006D2F1D" w:rsidRDefault="004704D4" w:rsidP="00BE062F">
      <w:pPr>
        <w:pStyle w:val="ListParagraph"/>
        <w:numPr>
          <w:ilvl w:val="0"/>
          <w:numId w:val="2"/>
        </w:numPr>
        <w:spacing w:line="480" w:lineRule="auto"/>
        <w:rPr>
          <w:rFonts w:ascii="Times New Roman" w:hAnsi="Times New Roman" w:cs="Times New Roman"/>
          <w:sz w:val="24"/>
          <w:szCs w:val="24"/>
        </w:rPr>
      </w:pPr>
      <w:r w:rsidRPr="004704D4">
        <w:rPr>
          <w:rFonts w:ascii="Times New Roman" w:hAnsi="Times New Roman" w:cs="Times New Roman"/>
          <w:sz w:val="24"/>
          <w:szCs w:val="24"/>
        </w:rPr>
        <w:t>Lo</w:t>
      </w:r>
      <w:r w:rsidR="006D2F1D">
        <w:rPr>
          <w:rFonts w:ascii="Times New Roman" w:hAnsi="Times New Roman" w:cs="Times New Roman"/>
          <w:sz w:val="24"/>
          <w:szCs w:val="24"/>
        </w:rPr>
        <w:t>wer level courts that handled the case include;</w:t>
      </w:r>
    </w:p>
    <w:p w:rsidR="00FE37E7" w:rsidRDefault="004704D4" w:rsidP="006D2F1D">
      <w:pPr>
        <w:pStyle w:val="ListParagraph"/>
        <w:spacing w:line="480" w:lineRule="auto"/>
        <w:ind w:firstLine="0"/>
        <w:rPr>
          <w:rFonts w:ascii="Times New Roman" w:hAnsi="Times New Roman" w:cs="Times New Roman"/>
          <w:sz w:val="24"/>
          <w:szCs w:val="24"/>
        </w:rPr>
      </w:pPr>
      <w:r w:rsidRPr="004704D4">
        <w:rPr>
          <w:rFonts w:ascii="Times New Roman" w:hAnsi="Times New Roman" w:cs="Times New Roman"/>
          <w:sz w:val="24"/>
          <w:szCs w:val="24"/>
        </w:rPr>
        <w:t>Estate of Geyer the court upheld that the</w:t>
      </w:r>
      <w:r w:rsidR="002E637D">
        <w:rPr>
          <w:rFonts w:ascii="Times New Roman" w:hAnsi="Times New Roman" w:cs="Times New Roman"/>
          <w:sz w:val="24"/>
          <w:szCs w:val="24"/>
        </w:rPr>
        <w:t xml:space="preserve"> prenuptial agreement was valid and ought to have been respected. This denies the appellant financial compensation immediately after divorce.</w:t>
      </w:r>
    </w:p>
    <w:p w:rsidR="002E637D" w:rsidRDefault="002E637D" w:rsidP="006D2F1D">
      <w:pPr>
        <w:pStyle w:val="ListParagraph"/>
        <w:spacing w:line="480" w:lineRule="auto"/>
        <w:ind w:firstLine="0"/>
        <w:rPr>
          <w:rFonts w:ascii="Times New Roman" w:hAnsi="Times New Roman" w:cs="Times New Roman"/>
          <w:sz w:val="24"/>
          <w:szCs w:val="24"/>
        </w:rPr>
      </w:pPr>
      <w:r>
        <w:rPr>
          <w:rFonts w:ascii="Times New Roman" w:hAnsi="Times New Roman" w:cs="Times New Roman"/>
          <w:sz w:val="24"/>
          <w:szCs w:val="24"/>
        </w:rPr>
        <w:t xml:space="preserve">The Court of Common Pleas upheld a master’s report finding prenuptial agreement was valid and denied the claim by the appellant. </w:t>
      </w:r>
    </w:p>
    <w:p w:rsidR="002E637D" w:rsidRPr="004704D4" w:rsidRDefault="002E637D" w:rsidP="006D2F1D">
      <w:pPr>
        <w:pStyle w:val="ListParagraph"/>
        <w:spacing w:line="480" w:lineRule="auto"/>
        <w:ind w:firstLine="0"/>
        <w:rPr>
          <w:rFonts w:ascii="Times New Roman" w:hAnsi="Times New Roman" w:cs="Times New Roman"/>
          <w:sz w:val="24"/>
          <w:szCs w:val="24"/>
        </w:rPr>
      </w:pPr>
    </w:p>
    <w:p w:rsidR="00FE37E7" w:rsidRPr="004704D4" w:rsidRDefault="00ED5D88" w:rsidP="00BE062F">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This appeal was a validity of a prenuptial agreement that was executed between the appellee, Fredrick Simeone and appellant Catherine Simeone. On the eve of their </w:t>
      </w:r>
      <w:r>
        <w:rPr>
          <w:rFonts w:ascii="Times New Roman" w:hAnsi="Times New Roman" w:cs="Times New Roman"/>
          <w:sz w:val="24"/>
          <w:szCs w:val="24"/>
        </w:rPr>
        <w:lastRenderedPageBreak/>
        <w:t xml:space="preserve">wedding, the appellee’s attorney presented the appellant with a prenuptial agreement for signing. The appellee’s attorney did not advise the appellant of any legal risghts that the agreement surrendered. In this case the appellant denies having such knowledge of signing the agreement which contained </w:t>
      </w:r>
      <w:r w:rsidR="00481D2F">
        <w:rPr>
          <w:rFonts w:ascii="Times New Roman" w:hAnsi="Times New Roman" w:cs="Times New Roman"/>
          <w:sz w:val="24"/>
          <w:szCs w:val="24"/>
        </w:rPr>
        <w:t>financial positions and claims to have signed it under adverse circumstances.</w:t>
      </w:r>
    </w:p>
    <w:p w:rsidR="00902C3A" w:rsidRPr="004704D4" w:rsidRDefault="00902C3A" w:rsidP="00BE062F">
      <w:pPr>
        <w:pStyle w:val="ListParagraph"/>
        <w:numPr>
          <w:ilvl w:val="0"/>
          <w:numId w:val="2"/>
        </w:numPr>
        <w:spacing w:line="480" w:lineRule="auto"/>
        <w:rPr>
          <w:rFonts w:ascii="Times New Roman" w:hAnsi="Times New Roman" w:cs="Times New Roman"/>
          <w:sz w:val="24"/>
          <w:szCs w:val="24"/>
        </w:rPr>
      </w:pPr>
      <w:r w:rsidRPr="004704D4">
        <w:rPr>
          <w:rFonts w:ascii="Times New Roman" w:hAnsi="Times New Roman" w:cs="Times New Roman"/>
          <w:sz w:val="24"/>
          <w:szCs w:val="24"/>
        </w:rPr>
        <w:t xml:space="preserve">The court </w:t>
      </w:r>
      <w:r w:rsidR="003214EA">
        <w:rPr>
          <w:rFonts w:ascii="Times New Roman" w:hAnsi="Times New Roman" w:cs="Times New Roman"/>
          <w:sz w:val="24"/>
          <w:szCs w:val="24"/>
        </w:rPr>
        <w:t>agreed on</w:t>
      </w:r>
      <w:r w:rsidRPr="004704D4">
        <w:rPr>
          <w:rFonts w:ascii="Times New Roman" w:hAnsi="Times New Roman" w:cs="Times New Roman"/>
          <w:sz w:val="24"/>
          <w:szCs w:val="24"/>
        </w:rPr>
        <w:t xml:space="preserve"> master’s report </w:t>
      </w:r>
      <w:r w:rsidR="003214EA">
        <w:rPr>
          <w:rFonts w:ascii="Times New Roman" w:hAnsi="Times New Roman" w:cs="Times New Roman"/>
          <w:sz w:val="24"/>
          <w:szCs w:val="24"/>
        </w:rPr>
        <w:t>finding prenuptial agreement being</w:t>
      </w:r>
      <w:r w:rsidRPr="004704D4">
        <w:rPr>
          <w:rFonts w:ascii="Times New Roman" w:hAnsi="Times New Roman" w:cs="Times New Roman"/>
          <w:sz w:val="24"/>
          <w:szCs w:val="24"/>
        </w:rPr>
        <w:t xml:space="preserve"> valid and denied claim.</w:t>
      </w:r>
      <w:r w:rsidR="00E42470" w:rsidRPr="004704D4">
        <w:rPr>
          <w:rFonts w:ascii="Times New Roman" w:hAnsi="Times New Roman" w:cs="Times New Roman"/>
          <w:sz w:val="24"/>
          <w:szCs w:val="24"/>
        </w:rPr>
        <w:t xml:space="preserve"> Prenuptial agreements are contracts and should be bound by terms of their agreements.</w:t>
      </w:r>
      <w:r w:rsidR="00015FEA" w:rsidRPr="004704D4">
        <w:rPr>
          <w:rFonts w:ascii="Times New Roman" w:hAnsi="Times New Roman" w:cs="Times New Roman"/>
          <w:sz w:val="24"/>
          <w:szCs w:val="24"/>
        </w:rPr>
        <w:t xml:space="preserve"> It agreed with the lower courts.</w:t>
      </w:r>
    </w:p>
    <w:p w:rsidR="00015FEA" w:rsidRPr="004704D4" w:rsidRDefault="009A7721" w:rsidP="00BE062F">
      <w:pPr>
        <w:pStyle w:val="ListParagraph"/>
        <w:numPr>
          <w:ilvl w:val="0"/>
          <w:numId w:val="2"/>
        </w:numPr>
        <w:spacing w:line="480" w:lineRule="auto"/>
        <w:rPr>
          <w:rFonts w:ascii="Times New Roman" w:hAnsi="Times New Roman" w:cs="Times New Roman"/>
          <w:sz w:val="24"/>
          <w:szCs w:val="24"/>
        </w:rPr>
      </w:pPr>
      <w:r w:rsidRPr="004704D4">
        <w:rPr>
          <w:rFonts w:ascii="Times New Roman" w:hAnsi="Times New Roman" w:cs="Times New Roman"/>
          <w:sz w:val="24"/>
          <w:szCs w:val="24"/>
        </w:rPr>
        <w:t>The court relied on legal principles of prenuptial agreements which are contracts, and, as such, they should be evaluated under same criteria as applica</w:t>
      </w:r>
      <w:r w:rsidR="00BF2E37" w:rsidRPr="004704D4">
        <w:rPr>
          <w:rFonts w:ascii="Times New Roman" w:hAnsi="Times New Roman" w:cs="Times New Roman"/>
          <w:sz w:val="24"/>
          <w:szCs w:val="24"/>
        </w:rPr>
        <w:t>ble to other types of contracts/agreements.</w:t>
      </w:r>
    </w:p>
    <w:p w:rsidR="00C8272C" w:rsidRPr="004704D4" w:rsidRDefault="009269B2" w:rsidP="00BE062F">
      <w:pPr>
        <w:pStyle w:val="ListParagraph"/>
        <w:numPr>
          <w:ilvl w:val="0"/>
          <w:numId w:val="2"/>
        </w:numPr>
        <w:spacing w:line="480" w:lineRule="auto"/>
        <w:rPr>
          <w:rFonts w:ascii="Times New Roman" w:hAnsi="Times New Roman" w:cs="Times New Roman"/>
          <w:sz w:val="24"/>
          <w:szCs w:val="24"/>
        </w:rPr>
      </w:pPr>
      <w:r w:rsidRPr="004704D4">
        <w:rPr>
          <w:rFonts w:ascii="Times New Roman" w:hAnsi="Times New Roman" w:cs="Times New Roman"/>
          <w:sz w:val="24"/>
          <w:szCs w:val="24"/>
        </w:rPr>
        <w:t>No. I disagree with the</w:t>
      </w:r>
      <w:r w:rsidR="00C8272C" w:rsidRPr="004704D4">
        <w:rPr>
          <w:rFonts w:ascii="Times New Roman" w:hAnsi="Times New Roman" w:cs="Times New Roman"/>
          <w:sz w:val="24"/>
          <w:szCs w:val="24"/>
        </w:rPr>
        <w:t xml:space="preserve"> court’</w:t>
      </w:r>
      <w:r w:rsidRPr="004704D4">
        <w:rPr>
          <w:rFonts w:ascii="Times New Roman" w:hAnsi="Times New Roman" w:cs="Times New Roman"/>
          <w:sz w:val="24"/>
          <w:szCs w:val="24"/>
        </w:rPr>
        <w:t>s decision. Marriage is not a contract for hire. The agreement is too unfair and inequitable to be enforced.</w:t>
      </w:r>
    </w:p>
    <w:p w:rsidR="004704D4" w:rsidRPr="004704D4" w:rsidRDefault="00C8272C" w:rsidP="00BE062F">
      <w:pPr>
        <w:pStyle w:val="ListParagraph"/>
        <w:numPr>
          <w:ilvl w:val="0"/>
          <w:numId w:val="2"/>
        </w:numPr>
        <w:spacing w:line="480" w:lineRule="auto"/>
        <w:rPr>
          <w:rFonts w:ascii="Times New Roman" w:hAnsi="Times New Roman" w:cs="Times New Roman"/>
          <w:sz w:val="24"/>
          <w:szCs w:val="24"/>
        </w:rPr>
      </w:pPr>
      <w:r w:rsidRPr="004704D4">
        <w:rPr>
          <w:rFonts w:ascii="Times New Roman" w:hAnsi="Times New Roman" w:cs="Times New Roman"/>
          <w:sz w:val="24"/>
          <w:szCs w:val="24"/>
        </w:rPr>
        <w:t>Yes, I think that the case would be the same if  it was decided today</w:t>
      </w:r>
    </w:p>
    <w:p w:rsidR="004704D4" w:rsidRPr="00107DEE" w:rsidRDefault="004704D4" w:rsidP="00BE062F">
      <w:pPr>
        <w:spacing w:line="480" w:lineRule="auto"/>
        <w:rPr>
          <w:rFonts w:ascii="Times New Roman" w:hAnsi="Times New Roman" w:cs="Times New Roman"/>
          <w:b/>
          <w:sz w:val="24"/>
          <w:szCs w:val="24"/>
        </w:rPr>
      </w:pPr>
      <w:r w:rsidRPr="00107DEE">
        <w:rPr>
          <w:rFonts w:ascii="Times New Roman" w:hAnsi="Times New Roman" w:cs="Times New Roman"/>
          <w:b/>
          <w:sz w:val="24"/>
          <w:szCs w:val="24"/>
        </w:rPr>
        <w:t>Question 2</w:t>
      </w:r>
    </w:p>
    <w:p w:rsidR="004704D4" w:rsidRPr="004704D4" w:rsidRDefault="004A7F86" w:rsidP="00BE062F">
      <w:pPr>
        <w:spacing w:line="480" w:lineRule="auto"/>
        <w:rPr>
          <w:rFonts w:ascii="Times New Roman" w:hAnsi="Times New Roman" w:cs="Times New Roman"/>
          <w:sz w:val="24"/>
          <w:szCs w:val="24"/>
        </w:rPr>
      </w:pPr>
      <w:r>
        <w:rPr>
          <w:rFonts w:ascii="Times New Roman" w:hAnsi="Times New Roman" w:cs="Times New Roman"/>
          <w:sz w:val="24"/>
          <w:szCs w:val="24"/>
        </w:rPr>
        <w:t>Lawrence v. Texas Case</w:t>
      </w:r>
    </w:p>
    <w:p w:rsidR="004704D4" w:rsidRDefault="00BE062F" w:rsidP="00BE062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022776">
        <w:rPr>
          <w:rFonts w:ascii="Times New Roman" w:hAnsi="Times New Roman" w:cs="Times New Roman"/>
          <w:sz w:val="24"/>
          <w:szCs w:val="24"/>
        </w:rPr>
        <w:t>case was in the Federal</w:t>
      </w:r>
      <w:r>
        <w:rPr>
          <w:rFonts w:ascii="Times New Roman" w:hAnsi="Times New Roman" w:cs="Times New Roman"/>
          <w:sz w:val="24"/>
          <w:szCs w:val="24"/>
        </w:rPr>
        <w:t xml:space="preserve"> court</w:t>
      </w:r>
    </w:p>
    <w:p w:rsidR="00BE062F" w:rsidRDefault="005C4D98" w:rsidP="00BE062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case involves </w:t>
      </w:r>
      <w:r w:rsidR="00022776">
        <w:rPr>
          <w:rFonts w:ascii="Times New Roman" w:hAnsi="Times New Roman" w:cs="Times New Roman"/>
          <w:sz w:val="24"/>
          <w:szCs w:val="24"/>
        </w:rPr>
        <w:t>Federal constitution arguments</w:t>
      </w:r>
    </w:p>
    <w:p w:rsidR="00096805" w:rsidRDefault="00096805" w:rsidP="00BE062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Court of Appeals, Texas</w:t>
      </w:r>
    </w:p>
    <w:p w:rsidR="00096805" w:rsidRDefault="00096805" w:rsidP="00BE062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 petitioner, John Geddes Lawrence suffered unwarranted government intrusions into his dwelling whereby he was having anal sex with Tyron Garner. The petition was against the ruling of the Harris County Criminal Court which upheld violation of Equal Protection Clause</w:t>
      </w:r>
      <w:r w:rsidR="003F4C88">
        <w:rPr>
          <w:rFonts w:ascii="Times New Roman" w:hAnsi="Times New Roman" w:cs="Times New Roman"/>
          <w:sz w:val="24"/>
          <w:szCs w:val="24"/>
        </w:rPr>
        <w:t xml:space="preserve"> of the Fourteenth Amendment</w:t>
      </w:r>
      <w:r>
        <w:rPr>
          <w:rFonts w:ascii="Times New Roman" w:hAnsi="Times New Roman" w:cs="Times New Roman"/>
          <w:sz w:val="24"/>
          <w:szCs w:val="24"/>
        </w:rPr>
        <w:t xml:space="preserve"> by the petitioner</w:t>
      </w:r>
      <w:r w:rsidR="00DD27F5">
        <w:rPr>
          <w:rFonts w:ascii="Times New Roman" w:hAnsi="Times New Roman" w:cs="Times New Roman"/>
          <w:sz w:val="24"/>
          <w:szCs w:val="24"/>
        </w:rPr>
        <w:t xml:space="preserve"> of both men</w:t>
      </w:r>
      <w:r>
        <w:rPr>
          <w:rFonts w:ascii="Times New Roman" w:hAnsi="Times New Roman" w:cs="Times New Roman"/>
          <w:sz w:val="24"/>
          <w:szCs w:val="24"/>
        </w:rPr>
        <w:t>.</w:t>
      </w:r>
    </w:p>
    <w:p w:rsidR="00022776" w:rsidRDefault="00022776" w:rsidP="00BE062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Harris County Criminal Court which upheld violation of Equal Protection Clause of the Fourteenth Amendment by the petitioner</w:t>
      </w:r>
      <w:r w:rsidR="00DD27F5">
        <w:rPr>
          <w:rFonts w:ascii="Times New Roman" w:hAnsi="Times New Roman" w:cs="Times New Roman"/>
          <w:sz w:val="24"/>
          <w:szCs w:val="24"/>
        </w:rPr>
        <w:t xml:space="preserve"> of the two men</w:t>
      </w:r>
      <w:r>
        <w:rPr>
          <w:rFonts w:ascii="Times New Roman" w:hAnsi="Times New Roman" w:cs="Times New Roman"/>
          <w:sz w:val="24"/>
          <w:szCs w:val="24"/>
        </w:rPr>
        <w:t>.</w:t>
      </w:r>
    </w:p>
    <w:p w:rsidR="00022776" w:rsidRDefault="00022776" w:rsidP="00BE062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Facts upheld were </w:t>
      </w:r>
      <w:r w:rsidR="00D565AB">
        <w:rPr>
          <w:rFonts w:ascii="Times New Roman" w:hAnsi="Times New Roman" w:cs="Times New Roman"/>
          <w:sz w:val="24"/>
          <w:szCs w:val="24"/>
        </w:rPr>
        <w:t>whether the petitioners were free as adults t</w:t>
      </w:r>
      <w:r w:rsidR="003214EA">
        <w:rPr>
          <w:rFonts w:ascii="Times New Roman" w:hAnsi="Times New Roman" w:cs="Times New Roman"/>
          <w:sz w:val="24"/>
          <w:szCs w:val="24"/>
        </w:rPr>
        <w:t>o engage in pri</w:t>
      </w:r>
      <w:r w:rsidR="00D565AB">
        <w:rPr>
          <w:rFonts w:ascii="Times New Roman" w:hAnsi="Times New Roman" w:cs="Times New Roman"/>
          <w:sz w:val="24"/>
          <w:szCs w:val="24"/>
        </w:rPr>
        <w:t>vate conduct in the exercise of their liberty under the Due process of the 14</w:t>
      </w:r>
      <w:r w:rsidR="00D565AB" w:rsidRPr="00D565AB">
        <w:rPr>
          <w:rFonts w:ascii="Times New Roman" w:hAnsi="Times New Roman" w:cs="Times New Roman"/>
          <w:sz w:val="24"/>
          <w:szCs w:val="24"/>
          <w:vertAlign w:val="superscript"/>
        </w:rPr>
        <w:t>th</w:t>
      </w:r>
      <w:r w:rsidR="00D565AB">
        <w:rPr>
          <w:rFonts w:ascii="Times New Roman" w:hAnsi="Times New Roman" w:cs="Times New Roman"/>
          <w:sz w:val="24"/>
          <w:szCs w:val="24"/>
        </w:rPr>
        <w:t xml:space="preserve"> Amendment of the constitution.</w:t>
      </w:r>
    </w:p>
    <w:p w:rsidR="00513B0B" w:rsidRDefault="00513B0B" w:rsidP="00BE062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No. the court d</w:t>
      </w:r>
      <w:r w:rsidR="003214EA">
        <w:rPr>
          <w:rFonts w:ascii="Times New Roman" w:hAnsi="Times New Roman" w:cs="Times New Roman"/>
          <w:sz w:val="24"/>
          <w:szCs w:val="24"/>
        </w:rPr>
        <w:t>isagreed with lower courts. The Court of Appeals stood for the exercise of the Equal Protection Clause of the Fourteenth Amendment</w:t>
      </w:r>
      <w:r w:rsidR="00504EE9">
        <w:rPr>
          <w:rFonts w:ascii="Times New Roman" w:hAnsi="Times New Roman" w:cs="Times New Roman"/>
          <w:sz w:val="24"/>
          <w:szCs w:val="24"/>
        </w:rPr>
        <w:t xml:space="preserve"> as free adults in private conduct</w:t>
      </w:r>
    </w:p>
    <w:p w:rsidR="00FD3EE4" w:rsidRDefault="00FD3EE4" w:rsidP="00BE062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petitioners were free adults at the time of the alleged offense and that their conduct was </w:t>
      </w:r>
      <w:r w:rsidR="005E5CF3">
        <w:rPr>
          <w:rFonts w:ascii="Times New Roman" w:hAnsi="Times New Roman" w:cs="Times New Roman"/>
          <w:sz w:val="24"/>
          <w:szCs w:val="24"/>
        </w:rPr>
        <w:t>private and cons</w:t>
      </w:r>
      <w:r>
        <w:rPr>
          <w:rFonts w:ascii="Times New Roman" w:hAnsi="Times New Roman" w:cs="Times New Roman"/>
          <w:sz w:val="24"/>
          <w:szCs w:val="24"/>
        </w:rPr>
        <w:t>ensual.</w:t>
      </w:r>
    </w:p>
    <w:p w:rsidR="005E5CF3" w:rsidRPr="00C3040B" w:rsidRDefault="00A83EDF" w:rsidP="00BE062F">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In 2003, the Supreme Court struck down an anti-sodomy law in Texas. In this dissent, Scalia termed the decision as a “product of a law-profession culture that has largely signed on to the so-called homosexual agenda.” This dissent stood for moral disapprobation of homosexual conduct which is no legitimate. This dissent goes against the majority opinion.</w:t>
      </w:r>
    </w:p>
    <w:p w:rsidR="00C3040B" w:rsidRDefault="00C3040B" w:rsidP="00C3040B">
      <w:pPr>
        <w:pStyle w:val="ListParagraph"/>
        <w:spacing w:line="480" w:lineRule="auto"/>
        <w:ind w:firstLine="0"/>
        <w:rPr>
          <w:rFonts w:ascii="Times New Roman" w:hAnsi="Times New Roman" w:cs="Times New Roman"/>
          <w:b/>
          <w:iCs/>
          <w:sz w:val="24"/>
          <w:szCs w:val="24"/>
        </w:rPr>
      </w:pPr>
      <w:r>
        <w:rPr>
          <w:rFonts w:ascii="Times New Roman" w:hAnsi="Times New Roman" w:cs="Times New Roman"/>
          <w:b/>
          <w:iCs/>
          <w:sz w:val="24"/>
          <w:szCs w:val="24"/>
        </w:rPr>
        <w:t>Question 3</w:t>
      </w:r>
    </w:p>
    <w:p w:rsidR="00C3040B" w:rsidRDefault="004929E8" w:rsidP="00C3040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To revisit the agreement with the attorney who drafted the pre-nuptial agreement.</w:t>
      </w:r>
    </w:p>
    <w:p w:rsidR="004929E8" w:rsidRDefault="00C3040B" w:rsidP="001F2635">
      <w:pPr>
        <w:pStyle w:val="ListParagraph"/>
        <w:numPr>
          <w:ilvl w:val="0"/>
          <w:numId w:val="4"/>
        </w:numPr>
        <w:spacing w:line="480" w:lineRule="auto"/>
        <w:rPr>
          <w:rFonts w:ascii="Times New Roman" w:hAnsi="Times New Roman" w:cs="Times New Roman"/>
          <w:sz w:val="24"/>
          <w:szCs w:val="24"/>
        </w:rPr>
      </w:pPr>
      <w:r w:rsidRPr="004929E8">
        <w:rPr>
          <w:rFonts w:ascii="Times New Roman" w:hAnsi="Times New Roman" w:cs="Times New Roman"/>
          <w:sz w:val="24"/>
          <w:szCs w:val="24"/>
        </w:rPr>
        <w:t xml:space="preserve">The agreement </w:t>
      </w:r>
      <w:r w:rsidR="004929E8">
        <w:rPr>
          <w:rFonts w:ascii="Times New Roman" w:hAnsi="Times New Roman" w:cs="Times New Roman"/>
          <w:sz w:val="24"/>
          <w:szCs w:val="24"/>
        </w:rPr>
        <w:t>should be made lenient in order to encourage the husband to abide unto it. For example, the attorney should come up with terms that accommodates the amount of money that can be paid by the husband past his retirement age.</w:t>
      </w:r>
    </w:p>
    <w:p w:rsidR="004C36B5" w:rsidRDefault="004C36B5" w:rsidP="001F2635">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In </w:t>
      </w:r>
      <w:r w:rsidR="00EF7DA1">
        <w:rPr>
          <w:rFonts w:ascii="Times New Roman" w:hAnsi="Times New Roman" w:cs="Times New Roman"/>
          <w:sz w:val="24"/>
          <w:szCs w:val="24"/>
        </w:rPr>
        <w:t>Bloomfield v. Bloomfield</w:t>
      </w:r>
      <w:r>
        <w:rPr>
          <w:rFonts w:ascii="Times New Roman" w:hAnsi="Times New Roman" w:cs="Times New Roman"/>
          <w:sz w:val="24"/>
          <w:szCs w:val="24"/>
        </w:rPr>
        <w:t xml:space="preserve"> we are confronted with a matrimonial appeal of both parties deciding their own interests through contractual </w:t>
      </w:r>
      <w:r w:rsidR="00EF7DA1">
        <w:rPr>
          <w:rFonts w:ascii="Times New Roman" w:hAnsi="Times New Roman" w:cs="Times New Roman"/>
          <w:sz w:val="24"/>
          <w:szCs w:val="24"/>
        </w:rPr>
        <w:t>arrangements</w:t>
      </w:r>
      <w:r>
        <w:rPr>
          <w:rFonts w:ascii="Times New Roman" w:hAnsi="Times New Roman" w:cs="Times New Roman"/>
          <w:sz w:val="24"/>
          <w:szCs w:val="24"/>
        </w:rPr>
        <w:t xml:space="preserve">. In this case the parties enunciated in Domestic Relations Law to ensure that non-monied spouse have the ability </w:t>
      </w:r>
      <w:r>
        <w:rPr>
          <w:rFonts w:ascii="Times New Roman" w:hAnsi="Times New Roman" w:cs="Times New Roman"/>
          <w:sz w:val="24"/>
          <w:szCs w:val="24"/>
        </w:rPr>
        <w:lastRenderedPageBreak/>
        <w:t>to litigate legitimate issues.</w:t>
      </w:r>
      <w:r w:rsidR="002E5174">
        <w:rPr>
          <w:rFonts w:ascii="Times New Roman" w:hAnsi="Times New Roman" w:cs="Times New Roman"/>
          <w:sz w:val="24"/>
          <w:szCs w:val="24"/>
        </w:rPr>
        <w:t xml:space="preserve"> This case came up with a renewed agreement that observed a waiver for the spouse.</w:t>
      </w:r>
    </w:p>
    <w:p w:rsidR="00C3040B" w:rsidRPr="00C3040B" w:rsidRDefault="00C3040B" w:rsidP="00C3040B">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wife cannot do legally. </w:t>
      </w:r>
    </w:p>
    <w:p w:rsidR="004704D4" w:rsidRPr="004704D4" w:rsidRDefault="004704D4" w:rsidP="00BE062F">
      <w:pPr>
        <w:spacing w:line="480" w:lineRule="auto"/>
        <w:rPr>
          <w:rFonts w:ascii="Times New Roman" w:hAnsi="Times New Roman" w:cs="Times New Roman"/>
          <w:sz w:val="24"/>
          <w:szCs w:val="24"/>
        </w:rPr>
      </w:pPr>
    </w:p>
    <w:p w:rsidR="004704D4" w:rsidRPr="004704D4" w:rsidRDefault="004704D4" w:rsidP="00BE062F">
      <w:pPr>
        <w:spacing w:line="480" w:lineRule="auto"/>
        <w:rPr>
          <w:rFonts w:ascii="Times New Roman" w:hAnsi="Times New Roman" w:cs="Times New Roman"/>
          <w:sz w:val="24"/>
          <w:szCs w:val="24"/>
        </w:rPr>
      </w:pPr>
    </w:p>
    <w:p w:rsidR="004704D4" w:rsidRPr="004704D4" w:rsidRDefault="004704D4" w:rsidP="00BE062F">
      <w:pPr>
        <w:spacing w:line="480" w:lineRule="auto"/>
        <w:rPr>
          <w:rFonts w:ascii="Times New Roman" w:hAnsi="Times New Roman" w:cs="Times New Roman"/>
          <w:sz w:val="24"/>
          <w:szCs w:val="24"/>
        </w:rPr>
      </w:pPr>
    </w:p>
    <w:p w:rsidR="004704D4" w:rsidRPr="004704D4" w:rsidRDefault="004704D4" w:rsidP="00BE062F">
      <w:pPr>
        <w:spacing w:line="480" w:lineRule="auto"/>
        <w:rPr>
          <w:rFonts w:ascii="Times New Roman" w:hAnsi="Times New Roman" w:cs="Times New Roman"/>
          <w:sz w:val="24"/>
          <w:szCs w:val="24"/>
        </w:rPr>
      </w:pPr>
    </w:p>
    <w:p w:rsidR="004704D4" w:rsidRDefault="004704D4" w:rsidP="00BE062F">
      <w:pPr>
        <w:spacing w:line="480" w:lineRule="auto"/>
        <w:rPr>
          <w:rFonts w:ascii="Times New Roman" w:hAnsi="Times New Roman" w:cs="Times New Roman"/>
          <w:sz w:val="24"/>
          <w:szCs w:val="24"/>
        </w:rPr>
      </w:pPr>
    </w:p>
    <w:p w:rsidR="00C3040B" w:rsidRDefault="00C3040B" w:rsidP="00BE062F">
      <w:pPr>
        <w:spacing w:line="480" w:lineRule="auto"/>
        <w:rPr>
          <w:rFonts w:ascii="Times New Roman" w:hAnsi="Times New Roman" w:cs="Times New Roman"/>
          <w:sz w:val="24"/>
          <w:szCs w:val="24"/>
        </w:rPr>
      </w:pPr>
    </w:p>
    <w:p w:rsidR="00C3040B" w:rsidRDefault="00C3040B" w:rsidP="00BE062F">
      <w:pPr>
        <w:spacing w:line="480" w:lineRule="auto"/>
        <w:rPr>
          <w:rFonts w:ascii="Times New Roman" w:hAnsi="Times New Roman" w:cs="Times New Roman"/>
          <w:sz w:val="24"/>
          <w:szCs w:val="24"/>
        </w:rPr>
      </w:pPr>
    </w:p>
    <w:p w:rsidR="00C3040B" w:rsidRDefault="00C3040B" w:rsidP="00BE062F">
      <w:pPr>
        <w:spacing w:line="480" w:lineRule="auto"/>
        <w:rPr>
          <w:rFonts w:ascii="Times New Roman" w:hAnsi="Times New Roman" w:cs="Times New Roman"/>
          <w:sz w:val="24"/>
          <w:szCs w:val="24"/>
        </w:rPr>
      </w:pPr>
    </w:p>
    <w:p w:rsidR="00C3040B" w:rsidRDefault="00C3040B" w:rsidP="00BE062F">
      <w:pPr>
        <w:spacing w:line="480" w:lineRule="auto"/>
        <w:rPr>
          <w:rFonts w:ascii="Times New Roman" w:hAnsi="Times New Roman" w:cs="Times New Roman"/>
          <w:sz w:val="24"/>
          <w:szCs w:val="24"/>
        </w:rPr>
      </w:pPr>
    </w:p>
    <w:p w:rsidR="00C3040B" w:rsidRDefault="00C3040B" w:rsidP="00BE062F">
      <w:pPr>
        <w:spacing w:line="480" w:lineRule="auto"/>
        <w:rPr>
          <w:rFonts w:ascii="Times New Roman" w:hAnsi="Times New Roman" w:cs="Times New Roman"/>
          <w:sz w:val="24"/>
          <w:szCs w:val="24"/>
        </w:rPr>
      </w:pPr>
    </w:p>
    <w:p w:rsidR="00C3040B" w:rsidRDefault="00C3040B" w:rsidP="00BE062F">
      <w:pPr>
        <w:spacing w:line="480" w:lineRule="auto"/>
        <w:rPr>
          <w:rFonts w:ascii="Times New Roman" w:hAnsi="Times New Roman" w:cs="Times New Roman"/>
          <w:sz w:val="24"/>
          <w:szCs w:val="24"/>
        </w:rPr>
      </w:pPr>
    </w:p>
    <w:p w:rsidR="00C3040B" w:rsidRDefault="00C3040B" w:rsidP="00BE062F">
      <w:pPr>
        <w:spacing w:line="480" w:lineRule="auto"/>
        <w:rPr>
          <w:rFonts w:ascii="Times New Roman" w:hAnsi="Times New Roman" w:cs="Times New Roman"/>
          <w:sz w:val="24"/>
          <w:szCs w:val="24"/>
        </w:rPr>
      </w:pPr>
    </w:p>
    <w:p w:rsidR="00EF7DA1" w:rsidRDefault="00EF7DA1" w:rsidP="00BE062F">
      <w:pPr>
        <w:spacing w:line="480" w:lineRule="auto"/>
        <w:rPr>
          <w:rFonts w:ascii="Times New Roman" w:hAnsi="Times New Roman" w:cs="Times New Roman"/>
          <w:sz w:val="24"/>
          <w:szCs w:val="24"/>
        </w:rPr>
      </w:pPr>
    </w:p>
    <w:p w:rsidR="00EF7DA1" w:rsidRDefault="00EF7DA1" w:rsidP="00BE062F">
      <w:pPr>
        <w:spacing w:line="480" w:lineRule="auto"/>
        <w:rPr>
          <w:rFonts w:ascii="Times New Roman" w:hAnsi="Times New Roman" w:cs="Times New Roman"/>
          <w:sz w:val="24"/>
          <w:szCs w:val="24"/>
        </w:rPr>
      </w:pPr>
    </w:p>
    <w:p w:rsidR="00EF7DA1" w:rsidRDefault="00EF7DA1" w:rsidP="00BE062F">
      <w:pPr>
        <w:spacing w:line="480" w:lineRule="auto"/>
        <w:rPr>
          <w:rFonts w:ascii="Times New Roman" w:hAnsi="Times New Roman" w:cs="Times New Roman"/>
          <w:sz w:val="24"/>
          <w:szCs w:val="24"/>
        </w:rPr>
      </w:pPr>
    </w:p>
    <w:p w:rsidR="00EF7DA1" w:rsidRDefault="00EF7DA1" w:rsidP="00BE062F">
      <w:pPr>
        <w:spacing w:line="480" w:lineRule="auto"/>
        <w:rPr>
          <w:rFonts w:ascii="Times New Roman" w:hAnsi="Times New Roman" w:cs="Times New Roman"/>
          <w:sz w:val="24"/>
          <w:szCs w:val="24"/>
        </w:rPr>
      </w:pPr>
    </w:p>
    <w:p w:rsidR="00C3040B" w:rsidRDefault="00C3040B" w:rsidP="00BE062F">
      <w:pPr>
        <w:spacing w:line="480" w:lineRule="auto"/>
        <w:rPr>
          <w:rFonts w:ascii="Times New Roman" w:hAnsi="Times New Roman" w:cs="Times New Roman"/>
          <w:sz w:val="24"/>
          <w:szCs w:val="24"/>
        </w:rPr>
      </w:pPr>
    </w:p>
    <w:p w:rsidR="00C3040B" w:rsidRDefault="00C3040B" w:rsidP="00BE062F">
      <w:pPr>
        <w:spacing w:line="480" w:lineRule="auto"/>
        <w:rPr>
          <w:rFonts w:ascii="Times New Roman" w:hAnsi="Times New Roman" w:cs="Times New Roman"/>
          <w:sz w:val="24"/>
          <w:szCs w:val="24"/>
        </w:rPr>
      </w:pPr>
    </w:p>
    <w:p w:rsidR="00C3040B" w:rsidRDefault="00C3040B" w:rsidP="00BE062F">
      <w:pPr>
        <w:spacing w:line="480" w:lineRule="auto"/>
        <w:rPr>
          <w:rFonts w:ascii="Times New Roman" w:hAnsi="Times New Roman" w:cs="Times New Roman"/>
          <w:sz w:val="24"/>
          <w:szCs w:val="24"/>
        </w:rPr>
      </w:pPr>
    </w:p>
    <w:p w:rsidR="00C3040B" w:rsidRPr="004704D4" w:rsidRDefault="00C3040B" w:rsidP="00BE062F">
      <w:pPr>
        <w:spacing w:line="480" w:lineRule="auto"/>
        <w:rPr>
          <w:rFonts w:ascii="Times New Roman" w:hAnsi="Times New Roman" w:cs="Times New Roman"/>
          <w:sz w:val="24"/>
          <w:szCs w:val="24"/>
        </w:rPr>
      </w:pPr>
    </w:p>
    <w:p w:rsidR="00C8272C" w:rsidRPr="004704D4" w:rsidRDefault="004704D4" w:rsidP="00BE062F">
      <w:pPr>
        <w:tabs>
          <w:tab w:val="left" w:pos="3300"/>
        </w:tabs>
        <w:spacing w:line="480" w:lineRule="auto"/>
        <w:rPr>
          <w:rFonts w:ascii="Times New Roman" w:hAnsi="Times New Roman" w:cs="Times New Roman"/>
          <w:b/>
          <w:sz w:val="24"/>
          <w:szCs w:val="24"/>
        </w:rPr>
      </w:pPr>
      <w:r w:rsidRPr="004704D4">
        <w:rPr>
          <w:rFonts w:ascii="Times New Roman" w:hAnsi="Times New Roman" w:cs="Times New Roman"/>
          <w:sz w:val="24"/>
          <w:szCs w:val="24"/>
        </w:rPr>
        <w:lastRenderedPageBreak/>
        <w:tab/>
      </w:r>
      <w:r w:rsidRPr="004704D4">
        <w:rPr>
          <w:rFonts w:ascii="Times New Roman" w:hAnsi="Times New Roman" w:cs="Times New Roman"/>
          <w:sz w:val="24"/>
          <w:szCs w:val="24"/>
        </w:rPr>
        <w:tab/>
      </w:r>
      <w:r w:rsidRPr="004704D4">
        <w:rPr>
          <w:rFonts w:ascii="Times New Roman" w:hAnsi="Times New Roman" w:cs="Times New Roman"/>
          <w:b/>
          <w:sz w:val="24"/>
          <w:szCs w:val="24"/>
        </w:rPr>
        <w:t xml:space="preserve">Citation </w:t>
      </w:r>
    </w:p>
    <w:p w:rsidR="004704D4" w:rsidRPr="00081FE1" w:rsidRDefault="00CD308B" w:rsidP="00BE062F">
      <w:pPr>
        <w:tabs>
          <w:tab w:val="left" w:pos="3300"/>
        </w:tabs>
        <w:spacing w:line="480" w:lineRule="auto"/>
        <w:rPr>
          <w:rFonts w:ascii="Times New Roman" w:hAnsi="Times New Roman" w:cs="Times New Roman"/>
          <w:sz w:val="24"/>
          <w:szCs w:val="24"/>
          <w:u w:val="single"/>
        </w:rPr>
      </w:pPr>
      <w:hyperlink r:id="rId7" w:history="1">
        <w:r w:rsidR="004704D4" w:rsidRPr="00081FE1">
          <w:rPr>
            <w:rStyle w:val="Hyperlink"/>
            <w:rFonts w:ascii="Times New Roman" w:hAnsi="Times New Roman" w:cs="Times New Roman"/>
            <w:sz w:val="24"/>
            <w:szCs w:val="24"/>
          </w:rPr>
          <w:t>Simeone v. Simeone, 525 Pa. 392, 581 A.2d 162, 1990 Pa. LEXIS 177 (Pa. Sept. 25, 1990)</w:t>
        </w:r>
      </w:hyperlink>
    </w:p>
    <w:p w:rsidR="00C3040B" w:rsidRDefault="00CD308B" w:rsidP="00BE062F">
      <w:pPr>
        <w:tabs>
          <w:tab w:val="left" w:pos="3300"/>
        </w:tabs>
        <w:spacing w:line="480" w:lineRule="auto"/>
        <w:rPr>
          <w:rFonts w:ascii="Times New Roman" w:hAnsi="Times New Roman" w:cs="Times New Roman"/>
          <w:sz w:val="24"/>
          <w:szCs w:val="24"/>
        </w:rPr>
      </w:pPr>
      <w:hyperlink r:id="rId8" w:history="1">
        <w:r w:rsidR="00C3040B" w:rsidRPr="00B55C18">
          <w:rPr>
            <w:rStyle w:val="Hyperlink"/>
            <w:rFonts w:ascii="Times New Roman" w:hAnsi="Times New Roman" w:cs="Times New Roman"/>
            <w:sz w:val="24"/>
            <w:szCs w:val="24"/>
          </w:rPr>
          <w:t>https://supreme.justia.com/cases/federal/us/539/558/case.html</w:t>
        </w:r>
      </w:hyperlink>
    </w:p>
    <w:p w:rsidR="00C3040B" w:rsidRPr="004704D4" w:rsidRDefault="00C3040B" w:rsidP="00BE062F">
      <w:pPr>
        <w:tabs>
          <w:tab w:val="left" w:pos="3300"/>
        </w:tabs>
        <w:spacing w:line="480" w:lineRule="auto"/>
        <w:rPr>
          <w:rFonts w:ascii="Times New Roman" w:hAnsi="Times New Roman" w:cs="Times New Roman"/>
          <w:sz w:val="24"/>
          <w:szCs w:val="24"/>
        </w:rPr>
      </w:pPr>
    </w:p>
    <w:sectPr w:rsidR="00C3040B" w:rsidRPr="004704D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308B" w:rsidRDefault="00CD308B">
      <w:r>
        <w:separator/>
      </w:r>
    </w:p>
  </w:endnote>
  <w:endnote w:type="continuationSeparator" w:id="0">
    <w:p w:rsidR="00CD308B" w:rsidRDefault="00CD3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308B" w:rsidRDefault="00CD308B">
      <w:r>
        <w:separator/>
      </w:r>
    </w:p>
  </w:footnote>
  <w:footnote w:type="continuationSeparator" w:id="0">
    <w:p w:rsidR="00CD308B" w:rsidRDefault="00CD30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13782519"/>
      <w:docPartObj>
        <w:docPartGallery w:val="Page Numbers (Top of Page)"/>
        <w:docPartUnique/>
      </w:docPartObj>
    </w:sdtPr>
    <w:sdtEndPr>
      <w:rPr>
        <w:noProof/>
      </w:rPr>
    </w:sdtEndPr>
    <w:sdtContent>
      <w:p w:rsidR="003A410A" w:rsidRPr="003A410A" w:rsidRDefault="004E0C5E">
        <w:pPr>
          <w:pStyle w:val="Header"/>
          <w:jc w:val="right"/>
          <w:rPr>
            <w:rFonts w:ascii="Times New Roman" w:hAnsi="Times New Roman" w:cs="Times New Roman"/>
            <w:sz w:val="24"/>
            <w:szCs w:val="24"/>
          </w:rPr>
        </w:pPr>
        <w:r w:rsidRPr="003A410A">
          <w:rPr>
            <w:rFonts w:ascii="Times New Roman" w:hAnsi="Times New Roman" w:cs="Times New Roman"/>
            <w:sz w:val="24"/>
            <w:szCs w:val="24"/>
          </w:rPr>
          <w:t xml:space="preserve">Surname </w:t>
        </w:r>
        <w:r w:rsidRPr="003A410A">
          <w:rPr>
            <w:rFonts w:ascii="Times New Roman" w:hAnsi="Times New Roman" w:cs="Times New Roman"/>
            <w:sz w:val="24"/>
            <w:szCs w:val="24"/>
          </w:rPr>
          <w:fldChar w:fldCharType="begin"/>
        </w:r>
        <w:r w:rsidRPr="003A410A">
          <w:rPr>
            <w:rFonts w:ascii="Times New Roman" w:hAnsi="Times New Roman" w:cs="Times New Roman"/>
            <w:sz w:val="24"/>
            <w:szCs w:val="24"/>
          </w:rPr>
          <w:instrText xml:space="preserve"> PAGE   \* MERGEFORMAT </w:instrText>
        </w:r>
        <w:r w:rsidRPr="003A410A">
          <w:rPr>
            <w:rFonts w:ascii="Times New Roman" w:hAnsi="Times New Roman" w:cs="Times New Roman"/>
            <w:sz w:val="24"/>
            <w:szCs w:val="24"/>
          </w:rPr>
          <w:fldChar w:fldCharType="separate"/>
        </w:r>
        <w:r w:rsidR="006D6EDA">
          <w:rPr>
            <w:rFonts w:ascii="Times New Roman" w:hAnsi="Times New Roman" w:cs="Times New Roman"/>
            <w:noProof/>
            <w:sz w:val="24"/>
            <w:szCs w:val="24"/>
          </w:rPr>
          <w:t>1</w:t>
        </w:r>
        <w:r w:rsidRPr="003A410A">
          <w:rPr>
            <w:rFonts w:ascii="Times New Roman" w:hAnsi="Times New Roman" w:cs="Times New Roman"/>
            <w:noProof/>
            <w:sz w:val="24"/>
            <w:szCs w:val="24"/>
          </w:rPr>
          <w:fldChar w:fldCharType="end"/>
        </w:r>
      </w:p>
    </w:sdtContent>
  </w:sdt>
  <w:p w:rsidR="003A410A" w:rsidRPr="003A410A" w:rsidRDefault="00CD308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3D67D0"/>
    <w:multiLevelType w:val="hybridMultilevel"/>
    <w:tmpl w:val="DF16CADC"/>
    <w:lvl w:ilvl="0" w:tplc="44C24892">
      <w:start w:val="1"/>
      <w:numFmt w:val="decimal"/>
      <w:lvlText w:val="%1."/>
      <w:lvlJc w:val="left"/>
      <w:pPr>
        <w:ind w:left="720" w:hanging="360"/>
      </w:pPr>
    </w:lvl>
    <w:lvl w:ilvl="1" w:tplc="70D61D50" w:tentative="1">
      <w:start w:val="1"/>
      <w:numFmt w:val="lowerLetter"/>
      <w:lvlText w:val="%2."/>
      <w:lvlJc w:val="left"/>
      <w:pPr>
        <w:ind w:left="1440" w:hanging="360"/>
      </w:pPr>
    </w:lvl>
    <w:lvl w:ilvl="2" w:tplc="0FB024B0" w:tentative="1">
      <w:start w:val="1"/>
      <w:numFmt w:val="lowerRoman"/>
      <w:lvlText w:val="%3."/>
      <w:lvlJc w:val="right"/>
      <w:pPr>
        <w:ind w:left="2160" w:hanging="180"/>
      </w:pPr>
    </w:lvl>
    <w:lvl w:ilvl="3" w:tplc="D062F854" w:tentative="1">
      <w:start w:val="1"/>
      <w:numFmt w:val="decimal"/>
      <w:lvlText w:val="%4."/>
      <w:lvlJc w:val="left"/>
      <w:pPr>
        <w:ind w:left="2880" w:hanging="360"/>
      </w:pPr>
    </w:lvl>
    <w:lvl w:ilvl="4" w:tplc="4D482890" w:tentative="1">
      <w:start w:val="1"/>
      <w:numFmt w:val="lowerLetter"/>
      <w:lvlText w:val="%5."/>
      <w:lvlJc w:val="left"/>
      <w:pPr>
        <w:ind w:left="3600" w:hanging="360"/>
      </w:pPr>
    </w:lvl>
    <w:lvl w:ilvl="5" w:tplc="A0464382" w:tentative="1">
      <w:start w:val="1"/>
      <w:numFmt w:val="lowerRoman"/>
      <w:lvlText w:val="%6."/>
      <w:lvlJc w:val="right"/>
      <w:pPr>
        <w:ind w:left="4320" w:hanging="180"/>
      </w:pPr>
    </w:lvl>
    <w:lvl w:ilvl="6" w:tplc="512C63FE" w:tentative="1">
      <w:start w:val="1"/>
      <w:numFmt w:val="decimal"/>
      <w:lvlText w:val="%7."/>
      <w:lvlJc w:val="left"/>
      <w:pPr>
        <w:ind w:left="5040" w:hanging="360"/>
      </w:pPr>
    </w:lvl>
    <w:lvl w:ilvl="7" w:tplc="A7CCB8D0" w:tentative="1">
      <w:start w:val="1"/>
      <w:numFmt w:val="lowerLetter"/>
      <w:lvlText w:val="%8."/>
      <w:lvlJc w:val="left"/>
      <w:pPr>
        <w:ind w:left="5760" w:hanging="360"/>
      </w:pPr>
    </w:lvl>
    <w:lvl w:ilvl="8" w:tplc="92F2F42C" w:tentative="1">
      <w:start w:val="1"/>
      <w:numFmt w:val="lowerRoman"/>
      <w:lvlText w:val="%9."/>
      <w:lvlJc w:val="right"/>
      <w:pPr>
        <w:ind w:left="6480" w:hanging="180"/>
      </w:pPr>
    </w:lvl>
  </w:abstractNum>
  <w:abstractNum w:abstractNumId="1">
    <w:nsid w:val="5B1035D6"/>
    <w:multiLevelType w:val="hybridMultilevel"/>
    <w:tmpl w:val="81204856"/>
    <w:lvl w:ilvl="0" w:tplc="D068D9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F75BC2"/>
    <w:multiLevelType w:val="hybridMultilevel"/>
    <w:tmpl w:val="318C3D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81C18B1"/>
    <w:multiLevelType w:val="hybridMultilevel"/>
    <w:tmpl w:val="1DC09B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D1E"/>
    <w:rsid w:val="00015FEA"/>
    <w:rsid w:val="00022776"/>
    <w:rsid w:val="0007538F"/>
    <w:rsid w:val="00081FE1"/>
    <w:rsid w:val="00096805"/>
    <w:rsid w:val="000B24E8"/>
    <w:rsid w:val="00107DEE"/>
    <w:rsid w:val="001C435B"/>
    <w:rsid w:val="00287517"/>
    <w:rsid w:val="002D6C4E"/>
    <w:rsid w:val="002E5174"/>
    <w:rsid w:val="002E637D"/>
    <w:rsid w:val="003214EA"/>
    <w:rsid w:val="003B6D1E"/>
    <w:rsid w:val="003F4C88"/>
    <w:rsid w:val="004704D4"/>
    <w:rsid w:val="00481D2F"/>
    <w:rsid w:val="004929E8"/>
    <w:rsid w:val="00497790"/>
    <w:rsid w:val="004A7F86"/>
    <w:rsid w:val="004C36B5"/>
    <w:rsid w:val="004E0C5E"/>
    <w:rsid w:val="004E77F0"/>
    <w:rsid w:val="00504EE9"/>
    <w:rsid w:val="00513B0B"/>
    <w:rsid w:val="005A1C25"/>
    <w:rsid w:val="005C4D98"/>
    <w:rsid w:val="005D4B07"/>
    <w:rsid w:val="005E5CF3"/>
    <w:rsid w:val="0069129F"/>
    <w:rsid w:val="006C1312"/>
    <w:rsid w:val="006D2F1D"/>
    <w:rsid w:val="006D6EDA"/>
    <w:rsid w:val="008249A3"/>
    <w:rsid w:val="00902C3A"/>
    <w:rsid w:val="009269B2"/>
    <w:rsid w:val="0098154A"/>
    <w:rsid w:val="009A7721"/>
    <w:rsid w:val="009B69AE"/>
    <w:rsid w:val="009D0ED5"/>
    <w:rsid w:val="00A83EDF"/>
    <w:rsid w:val="00BE062F"/>
    <w:rsid w:val="00BF2E37"/>
    <w:rsid w:val="00C27CA3"/>
    <w:rsid w:val="00C3040B"/>
    <w:rsid w:val="00C60C82"/>
    <w:rsid w:val="00C8272C"/>
    <w:rsid w:val="00C8592D"/>
    <w:rsid w:val="00CD308B"/>
    <w:rsid w:val="00D115B0"/>
    <w:rsid w:val="00D565AB"/>
    <w:rsid w:val="00DD27F5"/>
    <w:rsid w:val="00E31431"/>
    <w:rsid w:val="00E42470"/>
    <w:rsid w:val="00ED1873"/>
    <w:rsid w:val="00ED5D88"/>
    <w:rsid w:val="00EF7DA1"/>
    <w:rsid w:val="00F33511"/>
    <w:rsid w:val="00FA2B86"/>
    <w:rsid w:val="00FA4642"/>
    <w:rsid w:val="00FD3EE4"/>
    <w:rsid w:val="00FE37E7"/>
    <w:rsid w:val="00FF6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1DDC55-A888-4FB2-AEC3-54A88DA1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9DA"/>
    <w:pPr>
      <w:contextualSpacing/>
    </w:pPr>
  </w:style>
  <w:style w:type="paragraph" w:styleId="Header">
    <w:name w:val="header"/>
    <w:basedOn w:val="Normal"/>
    <w:link w:val="HeaderChar"/>
    <w:uiPriority w:val="99"/>
    <w:unhideWhenUsed/>
    <w:rsid w:val="003A410A"/>
    <w:pPr>
      <w:tabs>
        <w:tab w:val="center" w:pos="4680"/>
        <w:tab w:val="right" w:pos="9360"/>
      </w:tabs>
    </w:pPr>
  </w:style>
  <w:style w:type="character" w:customStyle="1" w:styleId="HeaderChar">
    <w:name w:val="Header Char"/>
    <w:basedOn w:val="DefaultParagraphFont"/>
    <w:link w:val="Header"/>
    <w:uiPriority w:val="99"/>
    <w:rsid w:val="003A410A"/>
  </w:style>
  <w:style w:type="paragraph" w:styleId="Footer">
    <w:name w:val="footer"/>
    <w:basedOn w:val="Normal"/>
    <w:link w:val="FooterChar"/>
    <w:uiPriority w:val="99"/>
    <w:unhideWhenUsed/>
    <w:rsid w:val="003A410A"/>
    <w:pPr>
      <w:tabs>
        <w:tab w:val="center" w:pos="4680"/>
        <w:tab w:val="right" w:pos="9360"/>
      </w:tabs>
    </w:pPr>
  </w:style>
  <w:style w:type="character" w:customStyle="1" w:styleId="FooterChar">
    <w:name w:val="Footer Char"/>
    <w:basedOn w:val="DefaultParagraphFont"/>
    <w:link w:val="Footer"/>
    <w:uiPriority w:val="99"/>
    <w:rsid w:val="003A410A"/>
  </w:style>
  <w:style w:type="character" w:styleId="Hyperlink">
    <w:name w:val="Hyperlink"/>
    <w:basedOn w:val="DefaultParagraphFont"/>
    <w:uiPriority w:val="99"/>
    <w:unhideWhenUsed/>
    <w:rsid w:val="0007538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reme.justia.com/cases/federal/us/539/558/case.html" TargetMode="External"/><Relationship Id="rId3" Type="http://schemas.openxmlformats.org/officeDocument/2006/relationships/settings" Target="settings.xml"/><Relationship Id="rId7" Type="http://schemas.openxmlformats.org/officeDocument/2006/relationships/hyperlink" Target="https://advance.lexis.com/api/document/collection/cases/id/3S3J-XS30-003C-S3NK-00000-00?cite=525%20Pa.%20392&amp;context=1000516&amp;origination=casebrief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dc:creator>
  <cp:lastModifiedBy>mwololo samuel</cp:lastModifiedBy>
  <cp:revision>2</cp:revision>
  <dcterms:created xsi:type="dcterms:W3CDTF">2017-10-11T22:07:00Z</dcterms:created>
  <dcterms:modified xsi:type="dcterms:W3CDTF">2017-10-11T22:07:00Z</dcterms:modified>
</cp:coreProperties>
</file>